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DD" w:rsidRPr="00336BDD" w:rsidRDefault="00336BDD" w:rsidP="00336B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color w:val="000000"/>
          <w:sz w:val="24"/>
          <w:szCs w:val="24"/>
        </w:rPr>
      </w:pPr>
    </w:p>
    <w:p w:rsidR="00336BDD" w:rsidRPr="00336BDD" w:rsidRDefault="00336BDD" w:rsidP="00336B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color w:val="000000"/>
          <w:sz w:val="28"/>
          <w:szCs w:val="28"/>
        </w:rPr>
      </w:pPr>
      <w:r w:rsidRPr="00336BDD">
        <w:rPr>
          <w:rFonts w:ascii="Arial Narrow" w:hAnsi="Arial Narrow" w:cs="Cambria"/>
          <w:b/>
          <w:bCs/>
          <w:color w:val="000000"/>
          <w:sz w:val="28"/>
          <w:szCs w:val="28"/>
        </w:rPr>
        <w:t xml:space="preserve">Proyecto Editorial </w:t>
      </w:r>
      <w:r w:rsidR="007B5936">
        <w:rPr>
          <w:rFonts w:ascii="Arial Narrow" w:hAnsi="Arial Narrow" w:cs="Cambria"/>
          <w:b/>
          <w:bCs/>
          <w:color w:val="000000"/>
          <w:sz w:val="28"/>
          <w:szCs w:val="28"/>
        </w:rPr>
        <w:t>20</w:t>
      </w:r>
      <w:r w:rsidR="00616C5F">
        <w:rPr>
          <w:rFonts w:ascii="Arial Narrow" w:hAnsi="Arial Narrow" w:cs="Cambria"/>
          <w:b/>
          <w:bCs/>
          <w:color w:val="000000"/>
          <w:sz w:val="28"/>
          <w:szCs w:val="28"/>
        </w:rPr>
        <w:t>15</w:t>
      </w:r>
    </w:p>
    <w:p w:rsidR="00336BDD" w:rsidRPr="00336BDD" w:rsidRDefault="00336BDD" w:rsidP="00336BDD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336BDD">
        <w:rPr>
          <w:rFonts w:ascii="Arial Narrow" w:eastAsia="Calibri" w:hAnsi="Arial Narrow"/>
          <w:sz w:val="28"/>
          <w:szCs w:val="28"/>
          <w:lang w:eastAsia="en-US"/>
        </w:rPr>
        <w:t xml:space="preserve">Revista </w:t>
      </w:r>
      <w:r w:rsidRPr="00336BDD">
        <w:rPr>
          <w:rFonts w:ascii="Arial Narrow" w:eastAsia="Calibri" w:hAnsi="Arial Narrow"/>
          <w:i/>
          <w:sz w:val="28"/>
          <w:szCs w:val="28"/>
          <w:lang w:eastAsia="en-US"/>
        </w:rPr>
        <w:t>COLOMBIA FORESTAL</w:t>
      </w:r>
    </w:p>
    <w:p w:rsidR="00336BDD" w:rsidRPr="00336BDD" w:rsidRDefault="00336BDD" w:rsidP="00CB367B">
      <w:pPr>
        <w:pStyle w:val="Default"/>
        <w:jc w:val="both"/>
        <w:rPr>
          <w:rFonts w:ascii="Arial Narrow" w:hAnsi="Arial Narrow"/>
        </w:rPr>
      </w:pPr>
    </w:p>
    <w:p w:rsidR="00CB367B" w:rsidRPr="00336BDD" w:rsidRDefault="00CB367B" w:rsidP="00CB367B">
      <w:pPr>
        <w:pStyle w:val="Default"/>
        <w:jc w:val="both"/>
        <w:rPr>
          <w:rFonts w:ascii="Arial Narrow" w:hAnsi="Arial Narrow"/>
        </w:rPr>
      </w:pPr>
      <w:r w:rsidRPr="00336BDD">
        <w:rPr>
          <w:rFonts w:ascii="Arial Narrow" w:hAnsi="Arial Narrow"/>
        </w:rPr>
        <w:t>El proyecto editorial que se desarrollará durante el periodo comprendido entre 20</w:t>
      </w:r>
      <w:r w:rsidR="00616C5F">
        <w:rPr>
          <w:rFonts w:ascii="Arial Narrow" w:hAnsi="Arial Narrow"/>
        </w:rPr>
        <w:t xml:space="preserve">15 </w:t>
      </w:r>
      <w:r w:rsidRPr="00336BDD">
        <w:rPr>
          <w:rFonts w:ascii="Arial Narrow" w:hAnsi="Arial Narrow"/>
        </w:rPr>
        <w:t xml:space="preserve">con el fin de continuar la publicación de la revista Colombia Forestal como proyecto editorial institucional en la  Facultad del Medio Ambiente y Recursos Naturales se presenta de la siguiente manera: </w:t>
      </w:r>
    </w:p>
    <w:p w:rsidR="00CB367B" w:rsidRPr="00336BDD" w:rsidRDefault="00CB367B" w:rsidP="00CB367B">
      <w:pPr>
        <w:pStyle w:val="Default"/>
        <w:rPr>
          <w:rFonts w:ascii="Arial Narrow" w:hAnsi="Arial Narrow"/>
        </w:rPr>
      </w:pPr>
      <w:r w:rsidRPr="00336BDD">
        <w:rPr>
          <w:rFonts w:ascii="Arial Narrow" w:hAnsi="Arial Narrow"/>
        </w:rPr>
        <w:t xml:space="preserve"> </w:t>
      </w:r>
    </w:p>
    <w:p w:rsidR="00CB367B" w:rsidRDefault="00CB367B" w:rsidP="00356A90">
      <w:pPr>
        <w:pStyle w:val="Default"/>
        <w:numPr>
          <w:ilvl w:val="0"/>
          <w:numId w:val="1"/>
        </w:numPr>
        <w:spacing w:after="8"/>
        <w:rPr>
          <w:rFonts w:ascii="Arial Narrow" w:hAnsi="Arial Narrow"/>
          <w:b/>
        </w:rPr>
      </w:pPr>
      <w:r w:rsidRPr="00336BDD">
        <w:rPr>
          <w:rFonts w:ascii="Arial Narrow" w:hAnsi="Arial Narrow"/>
          <w:b/>
        </w:rPr>
        <w:t xml:space="preserve">Objetivos Generales </w:t>
      </w:r>
    </w:p>
    <w:p w:rsidR="00336BDD" w:rsidRPr="00336BDD" w:rsidRDefault="00336BDD" w:rsidP="00CB367B">
      <w:pPr>
        <w:pStyle w:val="Default"/>
        <w:spacing w:after="8"/>
        <w:rPr>
          <w:rFonts w:ascii="Arial Narrow" w:hAnsi="Arial Narrow"/>
          <w:b/>
        </w:rPr>
      </w:pPr>
    </w:p>
    <w:p w:rsidR="00CB367B" w:rsidRPr="00336BDD" w:rsidRDefault="00CB367B" w:rsidP="00CB367B">
      <w:pPr>
        <w:pStyle w:val="Default"/>
        <w:spacing w:after="8"/>
        <w:rPr>
          <w:rFonts w:ascii="Arial Narrow" w:hAnsi="Arial Narrow"/>
        </w:rPr>
      </w:pPr>
      <w:r w:rsidRPr="00336BDD">
        <w:rPr>
          <w:rFonts w:ascii="Arial Narrow" w:hAnsi="Arial Narrow"/>
        </w:rPr>
        <w:t>1.</w:t>
      </w:r>
      <w:r w:rsidRPr="00336BDD">
        <w:rPr>
          <w:rFonts w:ascii="Arial Narrow" w:hAnsi="Arial Narrow" w:cs="Arial"/>
        </w:rPr>
        <w:t xml:space="preserve"> </w:t>
      </w:r>
      <w:r w:rsidRPr="00336BDD">
        <w:rPr>
          <w:rFonts w:ascii="Arial Narrow" w:hAnsi="Arial Narrow"/>
        </w:rPr>
        <w:t xml:space="preserve">Indexación bajo los parámetros de Publindex de </w:t>
      </w:r>
      <w:r w:rsidR="007B5936">
        <w:rPr>
          <w:rFonts w:ascii="Arial Narrow" w:hAnsi="Arial Narrow"/>
        </w:rPr>
        <w:t>acuerdo a la ind</w:t>
      </w:r>
      <w:r w:rsidR="00616C5F">
        <w:rPr>
          <w:rFonts w:ascii="Arial Narrow" w:hAnsi="Arial Narrow"/>
        </w:rPr>
        <w:t>exación de los respectivos años</w:t>
      </w:r>
      <w:r w:rsidRPr="00336BDD">
        <w:rPr>
          <w:rFonts w:ascii="Arial Narrow" w:hAnsi="Arial Narrow"/>
        </w:rPr>
        <w:t xml:space="preserve">.  </w:t>
      </w:r>
    </w:p>
    <w:p w:rsidR="00CB367B" w:rsidRPr="00336BDD" w:rsidRDefault="00CB367B" w:rsidP="00CB367B">
      <w:pPr>
        <w:pStyle w:val="Default"/>
        <w:spacing w:after="8"/>
        <w:rPr>
          <w:rFonts w:ascii="Arial Narrow" w:hAnsi="Arial Narrow"/>
        </w:rPr>
      </w:pPr>
      <w:r w:rsidRPr="00336BDD">
        <w:rPr>
          <w:rFonts w:ascii="Arial Narrow" w:hAnsi="Arial Narrow"/>
        </w:rPr>
        <w:t>2.</w:t>
      </w:r>
      <w:r w:rsidRPr="00336BDD">
        <w:rPr>
          <w:rFonts w:ascii="Arial Narrow" w:hAnsi="Arial Narrow" w:cs="Arial"/>
        </w:rPr>
        <w:t xml:space="preserve"> </w:t>
      </w:r>
      <w:r w:rsidRPr="00336BDD">
        <w:rPr>
          <w:rFonts w:ascii="Arial Narrow" w:hAnsi="Arial Narrow"/>
        </w:rPr>
        <w:t xml:space="preserve">Continuar ingresando en los </w:t>
      </w:r>
      <w:proofErr w:type="spellStart"/>
      <w:r w:rsidRPr="00336BDD">
        <w:rPr>
          <w:rFonts w:ascii="Arial Narrow" w:hAnsi="Arial Narrow"/>
        </w:rPr>
        <w:t>SIRes</w:t>
      </w:r>
      <w:proofErr w:type="spellEnd"/>
      <w:r w:rsidRPr="00336BDD">
        <w:rPr>
          <w:rFonts w:ascii="Arial Narrow" w:hAnsi="Arial Narrow"/>
        </w:rPr>
        <w:t xml:space="preserve">.  </w:t>
      </w:r>
    </w:p>
    <w:p w:rsidR="00CB367B" w:rsidRPr="00336BDD" w:rsidRDefault="00CB367B" w:rsidP="00CB367B">
      <w:pPr>
        <w:pStyle w:val="Default"/>
        <w:spacing w:after="8"/>
        <w:rPr>
          <w:rFonts w:ascii="Arial Narrow" w:hAnsi="Arial Narrow"/>
        </w:rPr>
      </w:pPr>
      <w:r w:rsidRPr="00336BDD">
        <w:rPr>
          <w:rFonts w:ascii="Arial Narrow" w:hAnsi="Arial Narrow"/>
        </w:rPr>
        <w:t>3.</w:t>
      </w:r>
      <w:r w:rsidRPr="00336BDD">
        <w:rPr>
          <w:rFonts w:ascii="Arial Narrow" w:hAnsi="Arial Narrow" w:cs="Arial"/>
        </w:rPr>
        <w:t xml:space="preserve"> </w:t>
      </w:r>
      <w:r w:rsidRPr="00336BDD">
        <w:rPr>
          <w:rFonts w:ascii="Arial Narrow" w:hAnsi="Arial Narrow"/>
        </w:rPr>
        <w:t xml:space="preserve">Desarrollar, administrar y gestionar la versión electrónica de la revista.  </w:t>
      </w:r>
    </w:p>
    <w:p w:rsidR="00CB367B" w:rsidRDefault="00CB367B" w:rsidP="00CB367B">
      <w:pPr>
        <w:pStyle w:val="Default"/>
        <w:rPr>
          <w:rFonts w:ascii="Arial Narrow" w:hAnsi="Arial Narrow"/>
        </w:rPr>
      </w:pPr>
      <w:r w:rsidRPr="00336BDD">
        <w:rPr>
          <w:rFonts w:ascii="Arial Narrow" w:hAnsi="Arial Narrow"/>
        </w:rPr>
        <w:t>4.</w:t>
      </w:r>
      <w:r w:rsidRPr="00336BDD">
        <w:rPr>
          <w:rFonts w:ascii="Arial Narrow" w:hAnsi="Arial Narrow" w:cs="Arial"/>
        </w:rPr>
        <w:t xml:space="preserve"> </w:t>
      </w:r>
      <w:r w:rsidRPr="00336BDD">
        <w:rPr>
          <w:rFonts w:ascii="Arial Narrow" w:hAnsi="Arial Narrow"/>
        </w:rPr>
        <w:t xml:space="preserve">Continuar con el programa de suscripción en la revista. </w:t>
      </w:r>
    </w:p>
    <w:p w:rsidR="002D2AB2" w:rsidRDefault="002D2AB2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1959"/>
        <w:gridCol w:w="1729"/>
        <w:gridCol w:w="1729"/>
      </w:tblGrid>
      <w:tr w:rsidR="00336BDD" w:rsidRPr="00A65C53" w:rsidTr="00C80DBF">
        <w:tc>
          <w:tcPr>
            <w:tcW w:w="1101" w:type="dxa"/>
            <w:vAlign w:val="center"/>
          </w:tcPr>
          <w:p w:rsidR="00336BDD" w:rsidRPr="00A65C53" w:rsidRDefault="00336BDD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126" w:type="dxa"/>
            <w:vAlign w:val="center"/>
          </w:tcPr>
          <w:p w:rsidR="00336BDD" w:rsidRPr="00A65C53" w:rsidRDefault="00336BDD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1959" w:type="dxa"/>
            <w:vAlign w:val="center"/>
          </w:tcPr>
          <w:p w:rsidR="00336BDD" w:rsidRPr="00A65C53" w:rsidRDefault="00336BDD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729" w:type="dxa"/>
            <w:vAlign w:val="center"/>
          </w:tcPr>
          <w:p w:rsidR="00336BDD" w:rsidRPr="00A65C53" w:rsidRDefault="00336BDD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29" w:type="dxa"/>
            <w:vAlign w:val="center"/>
          </w:tcPr>
          <w:p w:rsidR="00336BDD" w:rsidRPr="00A65C53" w:rsidRDefault="00336BDD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Indicador</w:t>
            </w:r>
          </w:p>
        </w:tc>
      </w:tr>
      <w:tr w:rsidR="004242EF" w:rsidRPr="00A65C53" w:rsidTr="00C80DBF">
        <w:tc>
          <w:tcPr>
            <w:tcW w:w="1101" w:type="dxa"/>
            <w:vMerge w:val="restart"/>
            <w:textDirection w:val="tbRl"/>
            <w:vAlign w:val="center"/>
          </w:tcPr>
          <w:p w:rsidR="004242EF" w:rsidRPr="00A65C53" w:rsidRDefault="004242EF" w:rsidP="00616C5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sz w:val="20"/>
                <w:szCs w:val="20"/>
              </w:rPr>
              <w:t>201</w:t>
            </w:r>
            <w:r w:rsidR="00616C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4242EF" w:rsidRPr="00A65C53" w:rsidRDefault="004242EF" w:rsidP="007B59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Clasificación de revistas en la categoría A del índice nacional Publindex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5936">
              <w:rPr>
                <w:rFonts w:ascii="Arial Narrow" w:hAnsi="Arial Narrow"/>
                <w:sz w:val="20"/>
                <w:szCs w:val="20"/>
              </w:rPr>
              <w:t>(de acuerdo a las respectivas normas)</w:t>
            </w: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Publicación mínimo de 15 artículos </w:t>
            </w:r>
            <w:r w:rsidR="007B5936">
              <w:rPr>
                <w:rFonts w:ascii="Arial Narrow" w:hAnsi="Arial Narrow"/>
                <w:sz w:val="20"/>
                <w:szCs w:val="20"/>
              </w:rPr>
              <w:t xml:space="preserve">anuales </w:t>
            </w:r>
            <w:r w:rsidRPr="00A65C53">
              <w:rPr>
                <w:rFonts w:ascii="Arial Narrow" w:hAnsi="Arial Narrow"/>
                <w:sz w:val="20"/>
                <w:szCs w:val="20"/>
              </w:rPr>
              <w:t>de Investigación e Innovación.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Publicación por parte  de los miembros  Comité Editorial, en los dos años anteriores al periodo de observación de al menos 1 artículo de investigación e innovación en otras revistas arbitradas afines a la cobertura temática de la revista.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Publicación por parte del comité de árbitros de al menos 1 artículo de investigación e innovación en otras revistas arbitradas afines a la cobertura temática de la revista.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Visibilizar externamente los autores de los artículos de manera que mínimo 60% de los mismos sea externo al comité editorial y al grupo de árbitros.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50 % de los miembros del  comité científico como mínimo deben pertenecer a instituciones extranjeras.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El 20% del Comité editorial del grupo de </w:t>
            </w:r>
            <w:r w:rsidRPr="00A65C53">
              <w:rPr>
                <w:rFonts w:ascii="Arial Narrow" w:hAnsi="Arial Narrow"/>
                <w:sz w:val="20"/>
                <w:szCs w:val="20"/>
              </w:rPr>
              <w:lastRenderedPageBreak/>
              <w:t>árbitros ó de los autores de artículos de investigación e innovación debe pertenecer a instituciones extranjeras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lastRenderedPageBreak/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50 % de los miembros del comité científico debe haber publicado en los 2 años anteriores al periodo de observación al menos 1 artículo de investigación e innovación en otras revistas arbitradas afines a la cobertura temática de la revista indexada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rPr>
          <w:trHeight w:val="1019"/>
        </w:trPr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Desarrollar, administrar y gestionar la versión electrónica de las revistas</w:t>
            </w: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Diseño, mantenimiento, diagramación y gestión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Apoyo CIDC para la plataforma OJS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Sitio Web</w:t>
            </w:r>
          </w:p>
          <w:p w:rsidR="004242EF" w:rsidRPr="00A65C53" w:rsidRDefault="004242EF" w:rsidP="00A65C5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2EF" w:rsidRPr="00A65C53" w:rsidTr="00C80DBF">
        <w:trPr>
          <w:trHeight w:val="709"/>
        </w:trPr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4242EF" w:rsidRPr="00336BDD">
              <w:trPr>
                <w:trHeight w:val="240"/>
              </w:trPr>
              <w:tc>
                <w:tcPr>
                  <w:tcW w:w="0" w:type="auto"/>
                </w:tcPr>
                <w:p w:rsidR="004242EF" w:rsidRPr="00336BDD" w:rsidRDefault="004242EF" w:rsidP="00336B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 w:rsidRPr="00336BDD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Continuar el programa de suscripción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3"/>
            </w:tblGrid>
            <w:tr w:rsidR="004242EF" w:rsidRPr="00336BDD">
              <w:trPr>
                <w:trHeight w:val="240"/>
              </w:trPr>
              <w:tc>
                <w:tcPr>
                  <w:tcW w:w="0" w:type="auto"/>
                </w:tcPr>
                <w:p w:rsidR="004242EF" w:rsidRPr="00336BDD" w:rsidRDefault="004242EF" w:rsidP="00336B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 w:rsidRPr="00336BDD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Continuar programa de suscripción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3"/>
            </w:tblGrid>
            <w:tr w:rsidR="004242EF" w:rsidRPr="00336BDD">
              <w:trPr>
                <w:trHeight w:val="240"/>
              </w:trPr>
              <w:tc>
                <w:tcPr>
                  <w:tcW w:w="0" w:type="auto"/>
                </w:tcPr>
                <w:p w:rsidR="004242EF" w:rsidRPr="00336BDD" w:rsidRDefault="004242EF" w:rsidP="00336B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 w:rsidRPr="00336BDD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Comités editoriales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4"/>
            </w:tblGrid>
            <w:tr w:rsidR="004242EF" w:rsidRPr="00336BDD" w:rsidTr="00336BDD">
              <w:trPr>
                <w:trHeight w:val="577"/>
              </w:trPr>
              <w:tc>
                <w:tcPr>
                  <w:tcW w:w="0" w:type="auto"/>
                  <w:vAlign w:val="center"/>
                </w:tcPr>
                <w:p w:rsidR="004242EF" w:rsidRPr="00336BDD" w:rsidRDefault="00644BE1" w:rsidP="00336B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Canjes digitales</w:t>
                  </w:r>
                  <w:r w:rsidR="004B55D2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4242EF" w:rsidRPr="00326033">
              <w:trPr>
                <w:trHeight w:val="496"/>
              </w:trPr>
              <w:tc>
                <w:tcPr>
                  <w:tcW w:w="0" w:type="auto"/>
                </w:tcPr>
                <w:p w:rsidR="004242EF" w:rsidRPr="00326033" w:rsidRDefault="004242EF" w:rsidP="003260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 w:rsidRPr="00326033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Consolidar la política editorial de la Facultad del Medio Ambiente y Recursos Naturales.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3"/>
            </w:tblGrid>
            <w:tr w:rsidR="004242EF" w:rsidRPr="00326033">
              <w:trPr>
                <w:trHeight w:val="368"/>
              </w:trPr>
              <w:tc>
                <w:tcPr>
                  <w:tcW w:w="0" w:type="auto"/>
                </w:tcPr>
                <w:p w:rsidR="004242EF" w:rsidRPr="00326033" w:rsidRDefault="004242EF" w:rsidP="003260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 w:rsidRPr="00326033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Unificación de criterios editoriales, Comité publicaciones, editores y CIDC.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242EF" w:rsidRPr="00326033" w:rsidRDefault="004242EF" w:rsidP="00A6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3"/>
            </w:tblGrid>
            <w:tr w:rsidR="004242EF" w:rsidRPr="00326033">
              <w:trPr>
                <w:trHeight w:val="240"/>
              </w:trPr>
              <w:tc>
                <w:tcPr>
                  <w:tcW w:w="0" w:type="auto"/>
                </w:tcPr>
                <w:p w:rsidR="004242EF" w:rsidRPr="00326033" w:rsidRDefault="004242EF" w:rsidP="003260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</w:pPr>
                  <w:r w:rsidRPr="00326033">
                    <w:rPr>
                      <w:rFonts w:ascii="Arial Narrow" w:hAnsi="Arial Narrow" w:cs="Cambria"/>
                      <w:color w:val="000000"/>
                      <w:sz w:val="20"/>
                      <w:szCs w:val="20"/>
                    </w:rPr>
                    <w:t>Decanatura, CIDC y editores</w:t>
                  </w:r>
                </w:p>
              </w:tc>
            </w:tr>
          </w:tbl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Proyecto Editorial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Estabilizar la periodicidad de la revista </w:t>
            </w:r>
            <w:r w:rsidRPr="00A65C53">
              <w:rPr>
                <w:rFonts w:ascii="Arial Narrow" w:hAnsi="Arial Narrow"/>
                <w:b/>
                <w:sz w:val="20"/>
                <w:szCs w:val="20"/>
              </w:rPr>
              <w:t xml:space="preserve">Colombia Forestal </w:t>
            </w:r>
            <w:r w:rsidRPr="00A65C53">
              <w:rPr>
                <w:rFonts w:ascii="Arial Narrow" w:hAnsi="Arial Narrow"/>
                <w:sz w:val="20"/>
                <w:szCs w:val="20"/>
              </w:rPr>
              <w:t>de la Facultad del Medio Ambiente y Recursos Naturales</w:t>
            </w:r>
          </w:p>
        </w:tc>
        <w:tc>
          <w:tcPr>
            <w:tcW w:w="1959" w:type="dxa"/>
            <w:vAlign w:val="center"/>
          </w:tcPr>
          <w:p w:rsidR="004242EF" w:rsidRPr="00A65C53" w:rsidRDefault="004242EF" w:rsidP="00B669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Realización de corrección de estilo y diagramación de contenido y portadas descentralizadas de</w:t>
            </w:r>
            <w:r w:rsidR="007B59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5C53">
              <w:rPr>
                <w:rFonts w:ascii="Arial Narrow" w:hAnsi="Arial Narrow"/>
                <w:sz w:val="20"/>
                <w:szCs w:val="20"/>
              </w:rPr>
              <w:t>l</w:t>
            </w:r>
            <w:r w:rsidR="007B5936">
              <w:rPr>
                <w:rFonts w:ascii="Arial Narrow" w:hAnsi="Arial Narrow"/>
                <w:sz w:val="20"/>
                <w:szCs w:val="20"/>
              </w:rPr>
              <w:t>os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>volúmen</w:t>
            </w:r>
            <w:r w:rsidR="007B5936">
              <w:rPr>
                <w:rFonts w:ascii="Arial Narrow" w:hAnsi="Arial Narrow"/>
                <w:sz w:val="20"/>
                <w:szCs w:val="20"/>
              </w:rPr>
              <w:t>es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5936">
              <w:rPr>
                <w:rFonts w:ascii="Arial Narrow" w:hAnsi="Arial Narrow"/>
                <w:sz w:val="20"/>
                <w:szCs w:val="20"/>
              </w:rPr>
              <w:t xml:space="preserve">18-I, 18-II 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Editor, Asistente Editorial, Editor de estilo y diagramador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Archivos digitales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B669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Impresión de los 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>volúmen</w:t>
            </w:r>
            <w:r w:rsidR="007B5936">
              <w:rPr>
                <w:rFonts w:ascii="Arial Narrow" w:hAnsi="Arial Narrow"/>
                <w:sz w:val="20"/>
                <w:szCs w:val="20"/>
              </w:rPr>
              <w:t>es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5936">
              <w:rPr>
                <w:rFonts w:ascii="Arial Narrow" w:hAnsi="Arial Narrow"/>
                <w:sz w:val="20"/>
                <w:szCs w:val="20"/>
              </w:rPr>
              <w:t>18-I, 18-II</w:t>
            </w:r>
            <w:r w:rsidR="00B669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5C53">
              <w:rPr>
                <w:rFonts w:ascii="Arial Narrow" w:hAnsi="Arial Narrow"/>
                <w:sz w:val="20"/>
                <w:szCs w:val="20"/>
              </w:rPr>
              <w:t>de Colombia Forestal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Editorial Universidad Distrital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Revistas Impresas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242EF" w:rsidRPr="00A65C53" w:rsidRDefault="004242EF" w:rsidP="00B669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Mantener la visibilidad e incorporación de la revistas en el índice bibliográfico </w:t>
            </w:r>
            <w:proofErr w:type="spellStart"/>
            <w:r w:rsidRPr="00A65C53">
              <w:rPr>
                <w:rFonts w:ascii="Arial Narrow" w:hAnsi="Arial Narrow"/>
                <w:sz w:val="20"/>
                <w:szCs w:val="20"/>
              </w:rPr>
              <w:t>Scielo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938">
              <w:rPr>
                <w:rFonts w:ascii="Arial Narrow" w:hAnsi="Arial Narrow"/>
                <w:sz w:val="20"/>
                <w:szCs w:val="20"/>
              </w:rPr>
              <w:t xml:space="preserve">y </w:t>
            </w:r>
            <w:proofErr w:type="spellStart"/>
            <w:r w:rsidR="00B66938">
              <w:rPr>
                <w:rFonts w:ascii="Arial Narrow" w:hAnsi="Arial Narrow"/>
                <w:sz w:val="20"/>
                <w:szCs w:val="20"/>
              </w:rPr>
              <w:t>Ebsco</w:t>
            </w:r>
            <w:proofErr w:type="spellEnd"/>
            <w:r w:rsidR="00B66938">
              <w:rPr>
                <w:rFonts w:ascii="Arial Narrow" w:hAnsi="Arial Narrow"/>
                <w:sz w:val="20"/>
                <w:szCs w:val="20"/>
              </w:rPr>
              <w:t xml:space="preserve"> host(</w:t>
            </w:r>
            <w:proofErr w:type="spellStart"/>
            <w:r w:rsidR="00B66938">
              <w:rPr>
                <w:rFonts w:ascii="Arial Narrow" w:hAnsi="Arial Narrow"/>
                <w:sz w:val="20"/>
                <w:szCs w:val="20"/>
              </w:rPr>
              <w:t>search</w:t>
            </w:r>
            <w:proofErr w:type="spellEnd"/>
            <w:r w:rsidR="00B6693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66938">
              <w:rPr>
                <w:rFonts w:ascii="Arial Narrow" w:hAnsi="Arial Narrow"/>
                <w:sz w:val="20"/>
                <w:szCs w:val="20"/>
              </w:rPr>
              <w:t>Academic</w:t>
            </w:r>
            <w:proofErr w:type="spellEnd"/>
            <w:r w:rsidR="00B66938">
              <w:rPr>
                <w:rFonts w:ascii="Arial Narrow" w:hAnsi="Arial Narrow"/>
                <w:sz w:val="20"/>
                <w:szCs w:val="20"/>
              </w:rPr>
              <w:t>)e iniciar proces</w:t>
            </w:r>
            <w:r w:rsidR="007B5936">
              <w:rPr>
                <w:rFonts w:ascii="Arial Narrow" w:hAnsi="Arial Narrow"/>
                <w:sz w:val="20"/>
                <w:szCs w:val="20"/>
              </w:rPr>
              <w:t>o de indicación en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otros (</w:t>
            </w:r>
            <w:r w:rsidR="00B66938">
              <w:rPr>
                <w:rFonts w:ascii="Arial Narrow" w:hAnsi="Arial Narrow"/>
                <w:sz w:val="20"/>
                <w:szCs w:val="20"/>
              </w:rPr>
              <w:t xml:space="preserve">ideal </w:t>
            </w:r>
            <w:r>
              <w:rPr>
                <w:rFonts w:ascii="Arial Narrow" w:hAnsi="Arial Narrow"/>
                <w:sz w:val="20"/>
                <w:szCs w:val="20"/>
              </w:rPr>
              <w:t>Scopus</w:t>
            </w:r>
            <w:r w:rsidR="007B5936">
              <w:rPr>
                <w:rFonts w:ascii="Arial Narrow" w:hAnsi="Arial Narrow"/>
                <w:sz w:val="20"/>
                <w:szCs w:val="20"/>
              </w:rPr>
              <w:t>, ISI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Recopilación de criterios necesarios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Indización en la base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Aplicación de criterios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Indización en la base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Presentación de información abierta para obtener y reproducir los documentos publicados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Presentación de índices periódicos por volumen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4242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Indexación en </w:t>
            </w:r>
            <w:r>
              <w:rPr>
                <w:rFonts w:ascii="Arial Narrow" w:hAnsi="Arial Narrow"/>
                <w:sz w:val="20"/>
                <w:szCs w:val="20"/>
              </w:rPr>
              <w:t>dos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índice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Bibliográfico durante el periodo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A65C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Publicación por parte del comité de árbitros de al menos 1 artículo </w:t>
            </w:r>
            <w:r w:rsidRPr="00A65C53">
              <w:rPr>
                <w:rFonts w:ascii="Arial Narrow" w:hAnsi="Arial Narrow"/>
                <w:sz w:val="20"/>
                <w:szCs w:val="20"/>
              </w:rPr>
              <w:lastRenderedPageBreak/>
              <w:t>de investigación e innovación en otras revistas arbitradas afines a la cobertura temática de la revista.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lastRenderedPageBreak/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rPr>
          <w:trHeight w:val="60"/>
        </w:trPr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50 % de los miembros del  comité científico como mínimo deben pertenecer a instituciones extranjeras.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  <w:tr w:rsidR="004242EF" w:rsidRPr="00A65C53" w:rsidTr="00C80DBF">
        <w:trPr>
          <w:trHeight w:val="1727"/>
        </w:trPr>
        <w:tc>
          <w:tcPr>
            <w:tcW w:w="1101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2EF" w:rsidRPr="00A65C53" w:rsidRDefault="004242EF" w:rsidP="00A65C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El 20% del Comité editorial del grupo de árbitros ó de los autores de artículos de investigación e innovación debe pertenecer a instituciones extranjeras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Editor y Comité Editorial</w:t>
            </w:r>
          </w:p>
        </w:tc>
        <w:tc>
          <w:tcPr>
            <w:tcW w:w="1729" w:type="dxa"/>
            <w:vAlign w:val="center"/>
          </w:tcPr>
          <w:p w:rsidR="004242EF" w:rsidRPr="00A65C53" w:rsidRDefault="004242EF" w:rsidP="00775F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Ejemplar</w:t>
            </w:r>
          </w:p>
        </w:tc>
      </w:tr>
    </w:tbl>
    <w:p w:rsidR="00336BDD" w:rsidRPr="009344E2" w:rsidRDefault="00336BDD" w:rsidP="00C80DBF">
      <w:pPr>
        <w:spacing w:after="0"/>
        <w:rPr>
          <w:rFonts w:ascii="Arial Narrow" w:hAnsi="Arial Narrow"/>
          <w:sz w:val="24"/>
          <w:szCs w:val="24"/>
        </w:rPr>
      </w:pPr>
    </w:p>
    <w:p w:rsidR="00356A90" w:rsidRPr="009344E2" w:rsidRDefault="00356A90" w:rsidP="00356A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4"/>
          <w:szCs w:val="24"/>
        </w:rPr>
      </w:pPr>
      <w:r w:rsidRPr="009344E2">
        <w:rPr>
          <w:rFonts w:ascii="Arial Narrow" w:hAnsi="Arial Narrow" w:cs="Cambria"/>
          <w:b/>
          <w:color w:val="000000"/>
          <w:sz w:val="24"/>
          <w:szCs w:val="24"/>
        </w:rPr>
        <w:t xml:space="preserve">Personal Necesario </w:t>
      </w:r>
    </w:p>
    <w:p w:rsidR="00356A90" w:rsidRPr="00356A90" w:rsidRDefault="00356A90" w:rsidP="00356A9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56A90" w:rsidRPr="00356A90" w:rsidRDefault="00356A90" w:rsidP="00356A9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356A90">
        <w:rPr>
          <w:rFonts w:ascii="Arial Narrow" w:hAnsi="Arial Narrow" w:cs="Cambria"/>
          <w:color w:val="000000"/>
          <w:sz w:val="24"/>
          <w:szCs w:val="24"/>
        </w:rPr>
        <w:t xml:space="preserve">Las actividades a desarrollarse demandan: Asistente editorial, contratación de edición de estilo, y diagramación (Digitalización, Portadas, Imágenes, Composición). </w:t>
      </w:r>
    </w:p>
    <w:p w:rsidR="00356A90" w:rsidRDefault="00356A90" w:rsidP="00356A9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356A90">
        <w:rPr>
          <w:rFonts w:ascii="Arial Narrow" w:hAnsi="Arial Narrow" w:cs="Cambria"/>
          <w:color w:val="000000"/>
          <w:sz w:val="24"/>
          <w:szCs w:val="24"/>
        </w:rPr>
        <w:t xml:space="preserve">Las actividades a desarrollarse demandan </w:t>
      </w:r>
    </w:p>
    <w:p w:rsidR="009344E2" w:rsidRPr="00356A90" w:rsidRDefault="009344E2" w:rsidP="00356A9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56A90" w:rsidRPr="009344E2" w:rsidRDefault="00356A90" w:rsidP="009344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 w:line="240" w:lineRule="auto"/>
        <w:ind w:left="426"/>
        <w:jc w:val="both"/>
        <w:rPr>
          <w:rFonts w:ascii="Arial Narrow" w:hAnsi="Arial Narrow" w:cs="Cambria"/>
          <w:color w:val="000000"/>
          <w:sz w:val="24"/>
          <w:szCs w:val="24"/>
        </w:rPr>
      </w:pPr>
      <w:r w:rsidRPr="009344E2">
        <w:rPr>
          <w:rFonts w:ascii="Arial Narrow" w:hAnsi="Arial Narrow" w:cs="Cambria"/>
          <w:color w:val="000000"/>
          <w:sz w:val="24"/>
          <w:szCs w:val="24"/>
        </w:rPr>
        <w:t xml:space="preserve">Un(a) asistente técnico(a), responsable de la supervisión de la calidad editorial de la publicación, así como de los mínimos editoriales para que la revista pueda aplicar a los SIRES que determine su proyecto editorial, que lleve las actas del comité editorial de la revista y responsable del mantenimiento de la revista en formato digital sobre plataformas estandarizadas y visibles, OJS. </w:t>
      </w:r>
    </w:p>
    <w:p w:rsidR="00356A90" w:rsidRPr="009344E2" w:rsidRDefault="00356A90" w:rsidP="009344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 w:line="240" w:lineRule="auto"/>
        <w:ind w:left="426"/>
        <w:jc w:val="both"/>
        <w:rPr>
          <w:rFonts w:ascii="Arial Narrow" w:hAnsi="Arial Narrow" w:cs="Cambria"/>
          <w:color w:val="000000"/>
          <w:sz w:val="24"/>
          <w:szCs w:val="24"/>
        </w:rPr>
      </w:pPr>
      <w:r w:rsidRPr="009344E2">
        <w:rPr>
          <w:rFonts w:ascii="Arial Narrow" w:hAnsi="Arial Narrow" w:cs="Cambria"/>
          <w:color w:val="000000"/>
          <w:sz w:val="24"/>
          <w:szCs w:val="24"/>
        </w:rPr>
        <w:t xml:space="preserve">Un corrector de estilo en lengua materna, con amplia experiencia en el área temática de la revista. </w:t>
      </w:r>
    </w:p>
    <w:p w:rsidR="00356A90" w:rsidRPr="009344E2" w:rsidRDefault="00356A90" w:rsidP="009344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 w:line="240" w:lineRule="auto"/>
        <w:ind w:left="426"/>
        <w:jc w:val="both"/>
        <w:rPr>
          <w:rFonts w:ascii="Arial Narrow" w:hAnsi="Arial Narrow" w:cs="Cambria"/>
          <w:color w:val="000000"/>
          <w:sz w:val="24"/>
          <w:szCs w:val="24"/>
        </w:rPr>
      </w:pPr>
      <w:r w:rsidRPr="009344E2">
        <w:rPr>
          <w:rFonts w:ascii="Arial Narrow" w:hAnsi="Arial Narrow" w:cs="Cambria"/>
          <w:color w:val="000000"/>
          <w:sz w:val="24"/>
          <w:szCs w:val="24"/>
        </w:rPr>
        <w:t xml:space="preserve">Un corrector de estilo en lengua extranjera, (inglés, francés o portugués), experto en la temática de la revista. </w:t>
      </w:r>
    </w:p>
    <w:p w:rsidR="00C861CF" w:rsidRDefault="00356A90" w:rsidP="00C861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ambria"/>
          <w:color w:val="000000"/>
          <w:sz w:val="24"/>
          <w:szCs w:val="24"/>
        </w:rPr>
      </w:pPr>
      <w:r w:rsidRPr="009344E2">
        <w:rPr>
          <w:rFonts w:ascii="Arial Narrow" w:hAnsi="Arial Narrow" w:cs="Cambria"/>
          <w:color w:val="000000"/>
          <w:sz w:val="24"/>
          <w:szCs w:val="24"/>
        </w:rPr>
        <w:t xml:space="preserve">Un diagramador, de amplia experiencia en la temática de la revista, de manera que conserve la identidad visual. </w:t>
      </w:r>
    </w:p>
    <w:p w:rsidR="00C80DBF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C80DBF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C80DBF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C80DBF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C80DBF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0B2FFE" w:rsidRDefault="000B2FFE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B66938" w:rsidRDefault="00B66938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B66938" w:rsidRDefault="00B66938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B66938" w:rsidRDefault="00B66938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B66938" w:rsidRDefault="00B66938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C80DBF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p w:rsidR="00C80DBF" w:rsidRPr="00775F29" w:rsidRDefault="00C80DBF" w:rsidP="00C80D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83"/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2"/>
        <w:gridCol w:w="1480"/>
      </w:tblGrid>
      <w:tr w:rsidR="004242EF" w:rsidRPr="00A65C53" w:rsidTr="004242EF">
        <w:trPr>
          <w:trHeight w:val="94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2EF" w:rsidRPr="00A65C53" w:rsidRDefault="00616C5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>
                  <wp:extent cx="842645" cy="70739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2EF" w:rsidRPr="00A65C53" w:rsidTr="004242EF">
        <w:trPr>
          <w:trHeight w:val="27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INFORMACIÓN GENERAL DEL PROYECTO EDITORIAL </w:t>
            </w:r>
          </w:p>
        </w:tc>
      </w:tr>
      <w:tr w:rsidR="00B66938" w:rsidRPr="00A65C53" w:rsidTr="0074132E">
        <w:trPr>
          <w:trHeight w:val="272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Pr="00A65C53" w:rsidRDefault="00B66938" w:rsidP="00B6693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AÑO: 201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Pr="00A65C53" w:rsidRDefault="00B66938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REVISTA </w:t>
            </w:r>
          </w:p>
          <w:p w:rsidR="00B66938" w:rsidRPr="00A65C53" w:rsidRDefault="00B66938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COLOMBIA FORESTAL </w:t>
            </w:r>
          </w:p>
        </w:tc>
      </w:tr>
      <w:tr w:rsidR="004242EF" w:rsidRPr="00A65C53" w:rsidTr="004242EF">
        <w:trPr>
          <w:trHeight w:val="2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GENERAL DEL PROYECTO EDITORIAL </w:t>
            </w:r>
          </w:p>
        </w:tc>
      </w:tr>
      <w:tr w:rsidR="004242EF" w:rsidRPr="00A65C53" w:rsidTr="004242EF">
        <w:trPr>
          <w:trHeight w:val="2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B6693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Convocatoria, recepción, revisión, edición temática y edición de estilo de al menos </w:t>
            </w:r>
            <w:r w:rsidR="00B66938">
              <w:rPr>
                <w:rFonts w:ascii="Arial Narrow" w:hAnsi="Arial Narrow"/>
                <w:sz w:val="20"/>
                <w:szCs w:val="20"/>
              </w:rPr>
              <w:t>30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manuscritos para editar 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938">
              <w:rPr>
                <w:rFonts w:ascii="Arial Narrow" w:hAnsi="Arial Narrow"/>
                <w:sz w:val="20"/>
                <w:szCs w:val="20"/>
              </w:rPr>
              <w:t xml:space="preserve">los 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>volúmen</w:t>
            </w:r>
            <w:r w:rsidR="007B5936">
              <w:rPr>
                <w:rFonts w:ascii="Arial Narrow" w:hAnsi="Arial Narrow"/>
                <w:sz w:val="20"/>
                <w:szCs w:val="20"/>
              </w:rPr>
              <w:t>es 18-I</w:t>
            </w:r>
            <w:r w:rsidR="00B66938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="007B5936">
              <w:rPr>
                <w:rFonts w:ascii="Arial Narrow" w:hAnsi="Arial Narrow"/>
                <w:sz w:val="20"/>
                <w:szCs w:val="20"/>
              </w:rPr>
              <w:t xml:space="preserve">18-II </w:t>
            </w:r>
            <w:r w:rsidRPr="00A65C53">
              <w:rPr>
                <w:rFonts w:ascii="Arial Narrow" w:hAnsi="Arial Narrow"/>
                <w:sz w:val="20"/>
                <w:szCs w:val="20"/>
              </w:rPr>
              <w:t>de</w:t>
            </w:r>
            <w:r w:rsidR="007B5936">
              <w:rPr>
                <w:rFonts w:ascii="Arial Narrow" w:hAnsi="Arial Narrow"/>
                <w:sz w:val="20"/>
                <w:szCs w:val="20"/>
              </w:rPr>
              <w:t xml:space="preserve"> la revista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Colombia Forestal </w:t>
            </w:r>
          </w:p>
        </w:tc>
      </w:tr>
      <w:tr w:rsidR="004242EF" w:rsidRPr="00A65C53" w:rsidTr="004242EF">
        <w:trPr>
          <w:trHeight w:val="1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OBJETIVOS GENERALES Y ESPECÍFICOS </w:t>
            </w:r>
          </w:p>
        </w:tc>
      </w:tr>
      <w:tr w:rsidR="004242EF" w:rsidRPr="00A65C53" w:rsidTr="004242EF">
        <w:trPr>
          <w:trHeight w:val="78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>Objetivo general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: Editar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>volúmen</w:t>
            </w:r>
            <w:r w:rsidR="007B5936">
              <w:rPr>
                <w:rFonts w:ascii="Arial Narrow" w:hAnsi="Arial Narrow"/>
                <w:sz w:val="20"/>
                <w:szCs w:val="20"/>
              </w:rPr>
              <w:t>es</w:t>
            </w:r>
            <w:r w:rsidR="007B5936"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938">
              <w:rPr>
                <w:rFonts w:ascii="Arial Narrow" w:hAnsi="Arial Narrow"/>
                <w:sz w:val="20"/>
                <w:szCs w:val="20"/>
              </w:rPr>
              <w:t>18-I y 18-II</w:t>
            </w:r>
            <w:r w:rsidR="00B66938"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938">
              <w:rPr>
                <w:rFonts w:ascii="Arial Narrow" w:hAnsi="Arial Narrow"/>
                <w:sz w:val="20"/>
                <w:szCs w:val="20"/>
              </w:rPr>
              <w:t>del año 2015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Objetivos específicos </w:t>
            </w:r>
          </w:p>
          <w:p w:rsidR="00775F29" w:rsidRPr="00A65C53" w:rsidRDefault="00775F29" w:rsidP="00775F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Mantener y /o mejorar la indexación de la revista en Publindex 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Mantener la periodicidad de dos números anuales de Colombia Forestal </w:t>
            </w:r>
          </w:p>
          <w:p w:rsidR="004242EF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Mantener y mejorar la publicación de contenidos en la plataforma OJS a través del portal institucional </w:t>
            </w:r>
          </w:p>
          <w:p w:rsidR="00775F29" w:rsidRPr="00A65C53" w:rsidRDefault="00775F29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Mantener y ampliar la cobertura de los contenidos publ</w:t>
            </w:r>
            <w:r>
              <w:rPr>
                <w:rFonts w:ascii="Arial Narrow" w:hAnsi="Arial Narrow"/>
                <w:sz w:val="20"/>
                <w:szCs w:val="20"/>
              </w:rPr>
              <w:t xml:space="preserve">icados en la plataforma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Scielo</w:t>
            </w:r>
            <w:proofErr w:type="spellEnd"/>
            <w:r w:rsidR="00C80DBF">
              <w:rPr>
                <w:rFonts w:ascii="Arial Narrow" w:hAnsi="Arial Narrow"/>
                <w:sz w:val="20"/>
                <w:szCs w:val="20"/>
              </w:rPr>
              <w:t xml:space="preserve"> y otros índices internacionales.</w:t>
            </w:r>
          </w:p>
        </w:tc>
      </w:tr>
      <w:tr w:rsidR="004242EF" w:rsidRPr="00A65C53" w:rsidTr="004242EF">
        <w:trPr>
          <w:trHeight w:val="273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UNIDAD EJECUTORA 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FACULTAD DEL MEDIO AMBIENTE Y RECURSOS NATURALES </w:t>
            </w:r>
          </w:p>
        </w:tc>
      </w:tr>
      <w:tr w:rsidR="004242EF" w:rsidRPr="00A65C53" w:rsidTr="004242EF">
        <w:trPr>
          <w:trHeight w:val="194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ORDENACIÓN DE GASTO DEL PROYECTO 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 DECANATURA </w:t>
            </w:r>
          </w:p>
        </w:tc>
      </w:tr>
      <w:tr w:rsidR="004242EF" w:rsidRPr="00A65C53" w:rsidTr="004242EF">
        <w:trPr>
          <w:trHeight w:val="182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VALOR TOTAL: 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0DBF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A65C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9F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54</w:t>
            </w:r>
            <w:bookmarkStart w:id="0" w:name="_GoBack"/>
            <w:bookmarkEnd w:id="0"/>
            <w:r w:rsidR="00AC1E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.560.000</w:t>
            </w:r>
          </w:p>
        </w:tc>
      </w:tr>
      <w:tr w:rsidR="004242EF" w:rsidRPr="00A65C53" w:rsidTr="004242EF">
        <w:trPr>
          <w:trHeight w:val="14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DESCRIPCIÓN DE GASTOS </w:t>
            </w:r>
          </w:p>
        </w:tc>
      </w:tr>
      <w:tr w:rsidR="004242EF" w:rsidRPr="00A65C53" w:rsidTr="004242EF">
        <w:trPr>
          <w:trHeight w:val="30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Año 201</w:t>
            </w:r>
            <w:r w:rsidR="00B6693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Cantidad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Valor Unitario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Duración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Unidad (%dedicación)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sz w:val="20"/>
                <w:szCs w:val="20"/>
              </w:rPr>
              <w:t>Valor Total</w:t>
            </w:r>
          </w:p>
        </w:tc>
      </w:tr>
      <w:tr w:rsidR="004242EF" w:rsidRPr="00A65C53" w:rsidTr="004242EF">
        <w:trPr>
          <w:trHeight w:val="46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SERVICIOS PERSONALES ADMINISTRATIVOS          </w:t>
            </w:r>
          </w:p>
        </w:tc>
      </w:tr>
      <w:tr w:rsidR="004242EF" w:rsidRPr="00A65C53" w:rsidTr="004242EF">
        <w:trPr>
          <w:trHeight w:val="1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Corrector de Estilo (para 600 cuartillas)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775F29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$ 7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año</w:t>
            </w:r>
            <w:r w:rsidR="00E00C9B">
              <w:rPr>
                <w:rFonts w:ascii="Arial Narrow" w:hAnsi="Arial Narrow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775F29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</w:t>
            </w:r>
            <w:r w:rsidR="00B66938">
              <w:rPr>
                <w:rFonts w:ascii="Arial Narrow" w:hAnsi="Arial Narrow"/>
                <w:i/>
                <w:iCs/>
                <w:sz w:val="20"/>
                <w:szCs w:val="20"/>
              </w:rPr>
              <w:t>4.200.000</w:t>
            </w:r>
          </w:p>
        </w:tc>
      </w:tr>
      <w:tr w:rsidR="004242EF" w:rsidRPr="00A65C53" w:rsidTr="004242EF">
        <w:trPr>
          <w:trHeight w:val="13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Diagramador (para 600 cuartillas)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775F29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$ 7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año</w:t>
            </w:r>
            <w:r w:rsidR="00E00C9B">
              <w:rPr>
                <w:rFonts w:ascii="Arial Narrow" w:hAnsi="Arial Narrow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775F29" w:rsidP="00775F29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</w:t>
            </w:r>
            <w:r w:rsidR="00B66938">
              <w:rPr>
                <w:rFonts w:ascii="Arial Narrow" w:hAnsi="Arial Narrow"/>
                <w:i/>
                <w:iCs/>
                <w:sz w:val="20"/>
                <w:szCs w:val="20"/>
              </w:rPr>
              <w:t>4.200.000</w:t>
            </w:r>
          </w:p>
        </w:tc>
      </w:tr>
      <w:tr w:rsidR="004242EF" w:rsidRPr="00A65C53" w:rsidTr="004242EF">
        <w:trPr>
          <w:trHeight w:val="13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B55D2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Gestor &amp; 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Asistente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$ 32.760.000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año</w:t>
            </w:r>
            <w:r w:rsidR="00E00C9B">
              <w:rPr>
                <w:rFonts w:ascii="Arial Narrow" w:hAnsi="Arial Narrow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TC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$</w:t>
            </w:r>
            <w:r w:rsidR="00B6693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B66938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32.760.000</w:t>
            </w:r>
          </w:p>
        </w:tc>
      </w:tr>
      <w:tr w:rsidR="004242EF" w:rsidRPr="00A65C53" w:rsidTr="004242EF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Corrector de Estilo en lengua extranjera        (20 cuartillas)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775F29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$ 3</w:t>
            </w:r>
            <w:r w:rsidR="00775F29"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775F29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</w:t>
            </w:r>
            <w:r w:rsidR="00B66938">
              <w:rPr>
                <w:rFonts w:ascii="Arial Narrow" w:hAnsi="Arial Narrow"/>
                <w:i/>
                <w:iCs/>
                <w:sz w:val="20"/>
                <w:szCs w:val="20"/>
              </w:rPr>
              <w:t>1.400.000</w:t>
            </w:r>
          </w:p>
        </w:tc>
      </w:tr>
      <w:tr w:rsidR="004242EF" w:rsidRPr="00A65C53" w:rsidTr="004242EF">
        <w:trPr>
          <w:trHeight w:val="13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Montaje de cubierta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$ 500.000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$ 1</w:t>
            </w:r>
            <w:r w:rsidR="00C80DBF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000.000</w:t>
            </w:r>
          </w:p>
        </w:tc>
      </w:tr>
      <w:tr w:rsidR="004242EF" w:rsidRPr="00A65C53" w:rsidTr="004242EF">
        <w:trPr>
          <w:trHeight w:val="267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TOTAL SERVICIOS PERSONALES ADMINISTRATIVOS 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C80DBF" w:rsidRDefault="00775F29" w:rsidP="00B66938">
            <w:pPr>
              <w:pStyle w:val="Default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C80DB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$ </w:t>
            </w:r>
            <w:r w:rsidR="00B6693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43.560</w:t>
            </w:r>
            <w:r w:rsidR="00C80DBF" w:rsidRPr="00C80DB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.000</w:t>
            </w:r>
          </w:p>
        </w:tc>
      </w:tr>
      <w:tr w:rsidR="004242EF" w:rsidRPr="00A65C53" w:rsidTr="004242EF">
        <w:trPr>
          <w:trHeight w:val="15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GASTOS GENERALES </w:t>
            </w:r>
          </w:p>
        </w:tc>
      </w:tr>
      <w:tr w:rsidR="004242EF" w:rsidRPr="00A65C53" w:rsidTr="004242EF">
        <w:trPr>
          <w:trHeight w:val="1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Papelería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$ 1000.000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C80DBF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</w:t>
            </w:r>
            <w:r w:rsidR="00B66938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000.000  </w:t>
            </w:r>
          </w:p>
        </w:tc>
      </w:tr>
      <w:tr w:rsidR="004242EF" w:rsidRPr="00A65C53" w:rsidTr="004242EF">
        <w:trPr>
          <w:trHeight w:val="15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Mensajería (envío de revistas de canje)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$ 6.000.000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</w:t>
            </w:r>
            <w:r w:rsidR="00B66938"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  <w:r w:rsidR="00C80DBF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000.000  </w:t>
            </w:r>
          </w:p>
        </w:tc>
      </w:tr>
      <w:tr w:rsidR="004242EF" w:rsidRPr="00A65C53" w:rsidTr="004242EF">
        <w:trPr>
          <w:trHeight w:val="15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Participación en eventos</w:t>
            </w:r>
            <w:r w:rsidR="00AC1EE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nacionales e internacionales(relacionados con publicaciones científicas o ciencias forestales)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B66938" w:rsidP="004242E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AC1EE3" w:rsidP="004242E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$ 4</w:t>
            </w:r>
            <w:r w:rsidR="004242EF"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.000.000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$ </w:t>
            </w:r>
            <w:r w:rsidR="007859F6"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  <w:r w:rsidR="00C80DBF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000.000  </w:t>
            </w:r>
          </w:p>
        </w:tc>
      </w:tr>
      <w:tr w:rsidR="004242EF" w:rsidRPr="00A65C53" w:rsidTr="004242EF">
        <w:trPr>
          <w:trHeight w:val="139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TOTAL GASTOS GENERALES 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EF" w:rsidRPr="00A65C53" w:rsidRDefault="004242EF" w:rsidP="00B66938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$ </w:t>
            </w:r>
            <w:r w:rsidR="007859F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11</w:t>
            </w:r>
            <w:r w:rsidR="00C80DB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.</w:t>
            </w: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000.000 </w:t>
            </w:r>
          </w:p>
        </w:tc>
      </w:tr>
      <w:tr w:rsidR="004242EF" w:rsidRPr="00A65C53" w:rsidTr="004242EF">
        <w:trPr>
          <w:trHeight w:val="199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TOTAL 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2EF" w:rsidRPr="00A65C53" w:rsidRDefault="00775F29" w:rsidP="00616C5F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$ </w:t>
            </w:r>
            <w:r w:rsidR="007859F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54</w:t>
            </w:r>
            <w:r w:rsidR="00616C5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.56</w:t>
            </w:r>
            <w:r w:rsidR="00C80DB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0.000</w:t>
            </w:r>
            <w:r w:rsidR="004242EF"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4242EF" w:rsidRPr="00A65C53" w:rsidTr="004242EF">
        <w:trPr>
          <w:trHeight w:val="232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 xml:space="preserve">  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4242EF" w:rsidRPr="00E93C02" w:rsidRDefault="00616C5F" w:rsidP="004242EF">
            <w:pPr>
              <w:pStyle w:val="Default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noProof/>
                <w:u w:val="single"/>
                <w:lang w:val="es-CO" w:eastAsia="es-CO"/>
              </w:rPr>
              <w:drawing>
                <wp:inline distT="0" distB="0" distL="0" distR="0">
                  <wp:extent cx="1041400" cy="461010"/>
                  <wp:effectExtent l="1905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3533" t="48106" r="43854" b="42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2EF" w:rsidRPr="00E93C0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René López Camacho</w:t>
            </w: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:rsidR="004242EF" w:rsidRPr="00A65C53" w:rsidRDefault="004242EF" w:rsidP="004242E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65C53">
              <w:rPr>
                <w:rFonts w:ascii="Arial Narrow" w:hAnsi="Arial Narrow"/>
                <w:i/>
                <w:iCs/>
                <w:sz w:val="20"/>
                <w:szCs w:val="20"/>
              </w:rPr>
              <w:t>Editor</w:t>
            </w:r>
          </w:p>
        </w:tc>
      </w:tr>
    </w:tbl>
    <w:p w:rsidR="00C861CF" w:rsidRPr="00336BDD" w:rsidRDefault="00C861CF" w:rsidP="00E93C02">
      <w:pPr>
        <w:rPr>
          <w:rFonts w:ascii="Arial Narrow" w:hAnsi="Arial Narrow"/>
          <w:sz w:val="24"/>
          <w:szCs w:val="24"/>
        </w:rPr>
      </w:pPr>
    </w:p>
    <w:sectPr w:rsidR="00C861CF" w:rsidRPr="00336BDD" w:rsidSect="002D2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08B"/>
    <w:multiLevelType w:val="hybridMultilevel"/>
    <w:tmpl w:val="20328016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DAB"/>
    <w:multiLevelType w:val="hybridMultilevel"/>
    <w:tmpl w:val="B6346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67B"/>
    <w:rsid w:val="000B2FFE"/>
    <w:rsid w:val="002D2AB2"/>
    <w:rsid w:val="00326033"/>
    <w:rsid w:val="00336BDD"/>
    <w:rsid w:val="00356A90"/>
    <w:rsid w:val="004242EF"/>
    <w:rsid w:val="004B55D2"/>
    <w:rsid w:val="00607ACB"/>
    <w:rsid w:val="00616C5F"/>
    <w:rsid w:val="00644BE1"/>
    <w:rsid w:val="00775F29"/>
    <w:rsid w:val="00777C73"/>
    <w:rsid w:val="007859F6"/>
    <w:rsid w:val="007B5936"/>
    <w:rsid w:val="009344E2"/>
    <w:rsid w:val="00A65C53"/>
    <w:rsid w:val="00AC1EE3"/>
    <w:rsid w:val="00B66938"/>
    <w:rsid w:val="00C80DBF"/>
    <w:rsid w:val="00C861CF"/>
    <w:rsid w:val="00CB367B"/>
    <w:rsid w:val="00E00C9B"/>
    <w:rsid w:val="00E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367B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36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6A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FAMARENA</dc:creator>
  <cp:keywords/>
  <dc:description/>
  <cp:lastModifiedBy>win7</cp:lastModifiedBy>
  <cp:revision>5</cp:revision>
  <dcterms:created xsi:type="dcterms:W3CDTF">2014-10-07T16:36:00Z</dcterms:created>
  <dcterms:modified xsi:type="dcterms:W3CDTF">2014-10-16T14:05:00Z</dcterms:modified>
</cp:coreProperties>
</file>